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56" w:rsidRDefault="007C6C56" w:rsidP="007C6C56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  <w:bookmarkStart w:id="0" w:name="_GoBack"/>
      <w:bookmarkEnd w:id="0"/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>LEI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 MUNICIPAL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 xml:space="preserve"> Nº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>2908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>/2017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        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 xml:space="preserve"> SÃO MARTINHO/RS, 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>05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 xml:space="preserve"> DE </w:t>
      </w:r>
      <w:r>
        <w:rPr>
          <w:rFonts w:ascii="Palatino Linotype" w:eastAsia="Arial Unicode MS" w:hAnsi="Palatino Linotype" w:cs="Times New Roman"/>
          <w:b/>
          <w:bCs/>
          <w:lang w:eastAsia="pt-BR"/>
        </w:rPr>
        <w:t xml:space="preserve">SETEMBRO </w:t>
      </w:r>
      <w:r w:rsidRPr="007C6C56">
        <w:rPr>
          <w:rFonts w:ascii="Palatino Linotype" w:eastAsia="Arial Unicode MS" w:hAnsi="Palatino Linotype" w:cs="Times New Roman"/>
          <w:b/>
          <w:bCs/>
          <w:lang w:eastAsia="pt-BR"/>
        </w:rPr>
        <w:t>DE 2017.</w:t>
      </w:r>
    </w:p>
    <w:p w:rsidR="007C6C56" w:rsidRPr="007C6C56" w:rsidRDefault="007C6C56" w:rsidP="007C6C56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7C6C56" w:rsidRPr="007C6C56" w:rsidRDefault="007C6C56" w:rsidP="007C6C56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“DISPÕE SOBRE O PLANO PLURIANUAL  PARA  O QUADRIÊNIO  2018-2021  E  DÁ  OUTRAS PROVIDÊNCIAS.</w:t>
      </w:r>
      <w:r w:rsidRPr="007C6C56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MARINO KREWER, </w:t>
      </w:r>
      <w:r w:rsidRPr="007C6C56">
        <w:rPr>
          <w:rFonts w:ascii="Palatino Linotype" w:eastAsia="Times New Roman" w:hAnsi="Palatino Linotype" w:cs="Times New Roman"/>
          <w:lang w:eastAsia="pt-BR"/>
        </w:rPr>
        <w:t>Prefeito Municipal de São Martinho, Estado do Rio Grande do Sul, no uso das atribuições legais,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FAZ SABER</w:t>
      </w:r>
      <w:r w:rsidRPr="007C6C56">
        <w:rPr>
          <w:rFonts w:ascii="Palatino Linotype" w:eastAsia="Times New Roman" w:hAnsi="Palatino Linotype" w:cs="Times New Roman"/>
          <w:lang w:eastAsia="pt-BR"/>
        </w:rPr>
        <w:t>, que a Câmara Municipal de Vereadores aprovou e EU, sanciono e promulgo a seguinte Lei:</w:t>
      </w:r>
    </w:p>
    <w:p w:rsid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1º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 Esta lei institui o Plano Plurianual para o quadriênio 2018/2021, em cumprimento ao disposto no art. 165, parágrafo 1º, da Constituição da República, estabelecendo, para o período, os programas com seus respectivos objetivos, indicadores e montantes de recursos a serem aplicados em despesas de capital e outras delas decorrentes e nas despesas de duração continuada, na forma dos Anexos I, II e III.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2º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Para efeitos desta Lei, entende-se por:</w:t>
      </w: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Programa, o instrumento de organização da atuação governamental, que articula um conjunto de ações que concorrem para um objetivo comum pré-estabelecido, mensurado por indicadores, visando à solução de um problema ou ao atendimento de uma necessidade ou demanda da sociedade.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Programa Finalístico, aquele que resulta em bens ou serviços ofertados diretamente à sociedade.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Programa de Apoio Administrativo, aquele que engloba ações de natureza tipicamente administrativa que, embora colaborem para a consecução dos objetivos dos demais programas, não têm suas despesas passíveis de apropriação àqueles programas.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IV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Ação, o conjunto de operações cujos produtos contribuem para os objetivos do programa.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Produto, bem ou serviço que resulta da ação, destinado ao público-alvo.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lastRenderedPageBreak/>
        <w:t>VI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Meta, quantidade de produto que se deseja obter em determinado horizonte temporal, expressa na unidade de medida adotada.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3º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 programação constante no PPA deverá ser financiada pelos recursos próprios do Município, das Operações de Crédito Internas e Externas, das Transferências Constitucionais, Legais e Voluntárias da União e do Estado e, subsidiariamente, das parcerias implementadas com outros Municípios e com a iniciativa privada.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Parágrafo único.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Os valores financeiros constantes nos anexos e nas tabelas desta Lei são referenciais e não constituem limite para a programação da despesa na Lei Orçamentária Anual, que deverá obedecer os parâmetros fixados pela Lei de Diretrizes Orçamentárias e as receitas efetivamente previstas em cada ano, consoante a legislação tributária em vigor à época.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4º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As metas físicas das ações estabelecidas para o período 2018-2021 se constituem referências a serem observadas pelas leis de diretrizes orçamentárias e pelas leis orçamentárias e suas respectivas alterações.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5º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 inclusão, exclusão ou alteração de programas constantes desta lei, serão propostos pelo Poder Executivo, através de Projeto de Lei de Revisão do Plano ou Projeto de lei específico.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Art.6º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 inclusão, exclusão ou alteração de ações, produtos e metas no Plano Plurianual poderão ocorrer por intermédio da Lei de Diretrizes Orçamentárias, da Lei Orçamentária Anual ou de seus créditos adicionais, apropriando-se ao respectivo programa, as modificações consequentes.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SimSun" w:hAnsi="Palatino Linotype" w:cs="Calibri"/>
          <w:lang w:eastAsia="zh-CN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Art.7º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7C6C56">
        <w:rPr>
          <w:rFonts w:ascii="Palatino Linotype" w:eastAsia="SimSun" w:hAnsi="Palatino Linotype" w:cs="Calibri"/>
          <w:lang w:eastAsia="zh-CN"/>
        </w:rPr>
        <w:t>O acompanhamento da execução dos programas do PPA será feito com base no desempenho dos indicadores, e/ou da realização das metas físicas e financeiras, cujas informações serão apuradas periodicamente e terão a finalidade de medir os resultados alcançados.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SimSun" w:hAnsi="Palatino Linotype" w:cs="Calibri"/>
          <w:lang w:eastAsia="zh-CN"/>
        </w:rPr>
      </w:pPr>
      <w:r w:rsidRPr="007C6C56">
        <w:rPr>
          <w:rFonts w:ascii="Palatino Linotype" w:eastAsia="SimSun" w:hAnsi="Palatino Linotype" w:cs="Calibri,Bold"/>
          <w:b/>
          <w:lang w:eastAsia="zh-CN"/>
        </w:rPr>
        <w:t>Parágrafo único.</w:t>
      </w:r>
      <w:r w:rsidRPr="007C6C56">
        <w:rPr>
          <w:rFonts w:ascii="Palatino Linotype" w:eastAsia="SimSun" w:hAnsi="Palatino Linotype" w:cs="Calibri,Bold"/>
          <w:lang w:eastAsia="zh-CN"/>
        </w:rPr>
        <w:t xml:space="preserve"> </w:t>
      </w:r>
      <w:r w:rsidRPr="007C6C56">
        <w:rPr>
          <w:rFonts w:ascii="Palatino Linotype" w:eastAsia="SimSun" w:hAnsi="Palatino Linotype" w:cs="Calibri"/>
          <w:lang w:eastAsia="zh-CN"/>
        </w:rPr>
        <w:t>O acompanhamento da execução dos programas do PPA será feito sob a coordenação da Secretaria Municipal de  Administração, a quem compete: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definir as metodologias a serem utilizadas na elaboração, no acompanhamento e na revisão do PPA a ser observado por todos os órgãos da Administração Municipal;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II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definir a agenda de elaboração, de acompanhamento e, quando for o caso, de revisão do PPA;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lastRenderedPageBreak/>
        <w:t>III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auxiliar os demais órgãos e setores da Administração Municipal nos processos de elaboração, de acompanhamento e de revisão do PPA; e </w:t>
      </w:r>
    </w:p>
    <w:p w:rsidR="007C6C56" w:rsidRPr="007C6C56" w:rsidRDefault="007C6C56" w:rsidP="007C6C56">
      <w:pPr>
        <w:autoSpaceDE w:val="0"/>
        <w:autoSpaceDN w:val="0"/>
        <w:adjustRightInd w:val="0"/>
        <w:spacing w:after="12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IV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elaborar anualmente relatório de avaliação dos resultados da implantação deste Plano que será encaminhado ao Poder Legislativo, juntamente o Projeto de Lei de Diretrizes Orçamentárias.</w:t>
      </w:r>
    </w:p>
    <w:p w:rsidR="007C6C56" w:rsidRPr="007C6C56" w:rsidRDefault="007C6C56" w:rsidP="007C6C56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Art. 8º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Integram o Plano Plurianual, as seguintes tabelas: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01 – Estimativas de Receitas por Categoria Econômica e Origem;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01-A –  Estimativas da Receita Corrente Líquida;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02 – Estimativas de Aplicação de Recursos na Manutenção e Desenvolvimento do Ensino;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IV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03 – Estimativas de Aplicação de Recursos em Ações e Serviços Públicos de Saúde;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04 – Estimativas de Gastos do Poder Legislativo, nos termos do art. 29-A, da Constituição da República;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05 – Estimativas de Gastos com Pessoal do Poder Executivo e Legislativo, nos termos do art. 20, inciso III, alíneas “a” e “b” da Lei Complementar nº 101, de 2000;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VII –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Tabela 06 – Avaliação global dos recursos disponíveis para o planejamento das despesas.</w:t>
      </w:r>
    </w:p>
    <w:p w:rsidR="007C6C56" w:rsidRPr="007C6C56" w:rsidRDefault="007C6C56" w:rsidP="007C6C5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 xml:space="preserve"> Art. 9º -</w:t>
      </w:r>
      <w:r w:rsidRPr="007C6C56">
        <w:rPr>
          <w:rFonts w:ascii="Palatino Linotype" w:eastAsia="Times New Roman" w:hAnsi="Palatino Linotype" w:cs="Times New Roman"/>
          <w:lang w:eastAsia="pt-BR"/>
        </w:rPr>
        <w:t xml:space="preserve"> Esta Lei entra em vigor na data de sua publicação.</w:t>
      </w:r>
    </w:p>
    <w:p w:rsidR="007C6C56" w:rsidRPr="007C6C56" w:rsidRDefault="007C6C56" w:rsidP="007C6C56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>GABINETE DA PREFEIT</w:t>
      </w:r>
      <w:r w:rsidRPr="007C6C56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MUNICIPAL DE SÃO MARTINHO/RS, AOS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05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DIAS DO MÊS DE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SETEMBRO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DO ANO DE 201</w:t>
      </w:r>
      <w:r w:rsidRPr="007C6C56">
        <w:rPr>
          <w:rFonts w:ascii="Palatino Linotype" w:eastAsia="Times New Roman" w:hAnsi="Palatino Linotype" w:cs="Times New Roman"/>
          <w:b/>
          <w:bCs/>
          <w:lang w:eastAsia="x-none"/>
        </w:rPr>
        <w:t>7</w:t>
      </w:r>
      <w:r w:rsidRPr="007C6C56">
        <w:rPr>
          <w:rFonts w:ascii="Palatino Linotype" w:eastAsia="Times New Roman" w:hAnsi="Palatino Linotype" w:cs="Times New Roman"/>
          <w:b/>
          <w:bCs/>
          <w:lang w:val="x-none" w:eastAsia="x-none"/>
        </w:rPr>
        <w:t>.</w:t>
      </w: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bCs/>
          <w:lang w:eastAsia="x-none"/>
        </w:rPr>
        <w:t>Registre-se e publique-se:</w:t>
      </w:r>
    </w:p>
    <w:p w:rsidR="007C6C56" w:rsidRPr="007C6C56" w:rsidRDefault="007C6C56" w:rsidP="007C6C56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pt-BR"/>
        </w:rPr>
      </w:pPr>
    </w:p>
    <w:p w:rsidR="007C6C56" w:rsidRPr="007C6C56" w:rsidRDefault="007C6C56" w:rsidP="007C6C56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pt-BR"/>
        </w:rPr>
      </w:pPr>
    </w:p>
    <w:p w:rsidR="007C6C56" w:rsidRPr="007C6C56" w:rsidRDefault="007C6C56" w:rsidP="007C6C56">
      <w:pPr>
        <w:keepNext/>
        <w:spacing w:after="0" w:line="240" w:lineRule="auto"/>
        <w:ind w:left="4253"/>
        <w:jc w:val="center"/>
        <w:outlineLvl w:val="1"/>
        <w:rPr>
          <w:rFonts w:ascii="Palatino Linotype" w:eastAsia="Times New Roman" w:hAnsi="Palatino Linotype" w:cs="Times New Roman"/>
          <w:b/>
          <w:bCs/>
          <w:iCs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bCs/>
          <w:iCs/>
          <w:lang w:eastAsia="pt-BR"/>
        </w:rPr>
        <w:t>MARINO KREWER</w:t>
      </w:r>
    </w:p>
    <w:p w:rsidR="007C6C56" w:rsidRDefault="007C6C56" w:rsidP="007C6C56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7C6C56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7C6C56" w:rsidRDefault="007C6C56" w:rsidP="007C6C56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7C6C56" w:rsidRPr="007C6C56" w:rsidRDefault="007C6C56" w:rsidP="007C6C56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7C6C56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7C6C56" w:rsidRPr="007C6C56" w:rsidRDefault="007C6C56" w:rsidP="007C6C56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7C6C56" w:rsidRPr="007C6C56" w:rsidRDefault="007C6C56" w:rsidP="007C6C5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</w:p>
    <w:sectPr w:rsidR="007C6C56" w:rsidRPr="007C6C56" w:rsidSect="007C6C5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1E"/>
    <w:rsid w:val="00783B1E"/>
    <w:rsid w:val="007C6C56"/>
    <w:rsid w:val="00BF60B8"/>
    <w:rsid w:val="00C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DFF90-8D0C-43EA-A288-32162EC9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dcterms:created xsi:type="dcterms:W3CDTF">2019-09-03T14:17:00Z</dcterms:created>
  <dcterms:modified xsi:type="dcterms:W3CDTF">2019-09-03T14:17:00Z</dcterms:modified>
</cp:coreProperties>
</file>